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0238" w:rsidRPr="00DD0238" w:rsidRDefault="00DD0238" w:rsidP="00DD023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Additional file </w:t>
      </w:r>
      <w:r w:rsidR="00273904">
        <w:rPr>
          <w:rFonts w:ascii="Times New Roman" w:hAnsi="Times New Roman" w:cs="Times New Roman"/>
          <w:sz w:val="24"/>
          <w:szCs w:val="24"/>
          <w:lang w:val="en-US"/>
        </w:rPr>
        <w:t>3</w:t>
      </w:r>
      <w:bookmarkStart w:id="0" w:name="_GoBack"/>
      <w:bookmarkEnd w:id="0"/>
    </w:p>
    <w:p w:rsidR="00DD0238" w:rsidRPr="00DD0238" w:rsidRDefault="00DD0238" w:rsidP="00DD0238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D0238">
        <w:rPr>
          <w:rFonts w:ascii="Times New Roman" w:hAnsi="Times New Roman" w:cs="Times New Roman"/>
          <w:b/>
          <w:sz w:val="24"/>
          <w:szCs w:val="24"/>
          <w:lang w:val="en-US"/>
        </w:rPr>
        <w:t xml:space="preserve">Reliability and hypotheses testing for construct validity of the RCADS-25 and RCADS-20 </w:t>
      </w:r>
      <w:r w:rsidR="001323BF">
        <w:rPr>
          <w:rFonts w:ascii="Times New Roman" w:hAnsi="Times New Roman" w:cs="Times New Roman"/>
          <w:b/>
          <w:sz w:val="24"/>
          <w:szCs w:val="24"/>
          <w:lang w:val="en-US"/>
        </w:rPr>
        <w:t>sub</w:t>
      </w:r>
      <w:r w:rsidRPr="00DD0238">
        <w:rPr>
          <w:rFonts w:ascii="Times New Roman" w:hAnsi="Times New Roman" w:cs="Times New Roman"/>
          <w:b/>
          <w:sz w:val="24"/>
          <w:szCs w:val="24"/>
          <w:lang w:val="en-US"/>
        </w:rPr>
        <w:t>scales</w:t>
      </w:r>
    </w:p>
    <w:tbl>
      <w:tblPr>
        <w:tblStyle w:val="Lichtearcering"/>
        <w:tblW w:w="0" w:type="auto"/>
        <w:tblLook w:val="06A0" w:firstRow="1" w:lastRow="0" w:firstColumn="1" w:lastColumn="0" w:noHBand="1" w:noVBand="1"/>
      </w:tblPr>
      <w:tblGrid>
        <w:gridCol w:w="4650"/>
        <w:gridCol w:w="1465"/>
        <w:gridCol w:w="1903"/>
        <w:gridCol w:w="1776"/>
        <w:gridCol w:w="1776"/>
        <w:gridCol w:w="1776"/>
      </w:tblGrid>
      <w:tr w:rsidR="00DD0238" w:rsidRPr="00DD0238" w:rsidTr="00AC3A3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nil"/>
            </w:tcBorders>
          </w:tcPr>
          <w:p w:rsidR="00DD0238" w:rsidRPr="00DD0238" w:rsidRDefault="00DD0238" w:rsidP="00DD023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bottom w:val="nil"/>
            </w:tcBorders>
          </w:tcPr>
          <w:p w:rsidR="00DD0238" w:rsidRPr="00DD0238" w:rsidRDefault="00DD0238" w:rsidP="00DD0238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bottom w:val="nil"/>
            </w:tcBorders>
          </w:tcPr>
          <w:p w:rsidR="00DD0238" w:rsidRPr="00DD0238" w:rsidRDefault="00DD0238" w:rsidP="00DD0238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:rsidR="00DD0238" w:rsidRPr="00DD0238" w:rsidRDefault="00DD0238" w:rsidP="00DD0238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02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RCADS-25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DD0238" w:rsidRPr="00DD0238" w:rsidRDefault="00DD0238" w:rsidP="00DD0238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02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RCADS-20</w:t>
            </w:r>
            <w:r w:rsidRPr="00DD023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</w:tr>
      <w:tr w:rsidR="00DD0238" w:rsidRPr="00DD0238" w:rsidTr="00AC3A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4" w:space="0" w:color="auto"/>
            </w:tcBorders>
          </w:tcPr>
          <w:p w:rsidR="00DD0238" w:rsidRPr="00DD0238" w:rsidRDefault="00DD0238" w:rsidP="00DD023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DD0238" w:rsidRPr="00DD0238" w:rsidRDefault="00DD0238" w:rsidP="00DD02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DD0238" w:rsidRPr="00DD0238" w:rsidRDefault="00DD0238" w:rsidP="00DD02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D0238" w:rsidRPr="00DD0238" w:rsidRDefault="00DD0238" w:rsidP="00DD02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D023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Broad anxiety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D0238" w:rsidRPr="00DD0238" w:rsidRDefault="00DD0238" w:rsidP="00DD02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D023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MDD-10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D0238" w:rsidRPr="00DD0238" w:rsidRDefault="00DD0238" w:rsidP="00DD02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D023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MDD-5</w:t>
            </w:r>
          </w:p>
        </w:tc>
      </w:tr>
      <w:tr w:rsidR="00DD0238" w:rsidRPr="00DD0238" w:rsidTr="00AC3A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D0238" w:rsidRPr="00DD0238" w:rsidRDefault="00DD0238" w:rsidP="00DD023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02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Internal consistency </w:t>
            </w:r>
          </w:p>
        </w:tc>
        <w:tc>
          <w:tcPr>
            <w:tcW w:w="0" w:type="auto"/>
          </w:tcPr>
          <w:p w:rsidR="00DD0238" w:rsidRPr="00DD0238" w:rsidRDefault="00DD0238" w:rsidP="00DD02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02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(N = 69,487)</w:t>
            </w:r>
          </w:p>
        </w:tc>
        <w:tc>
          <w:tcPr>
            <w:tcW w:w="0" w:type="auto"/>
          </w:tcPr>
          <w:p w:rsidR="00DD0238" w:rsidRPr="00DD0238" w:rsidRDefault="00DD0238" w:rsidP="00DD02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D02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Cronbach’s</w:t>
            </w:r>
            <w:proofErr w:type="spellEnd"/>
            <w:r w:rsidRPr="00DD02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alpha</w:t>
            </w:r>
          </w:p>
        </w:tc>
        <w:tc>
          <w:tcPr>
            <w:tcW w:w="0" w:type="auto"/>
          </w:tcPr>
          <w:p w:rsidR="00DD0238" w:rsidRPr="00DD0238" w:rsidRDefault="00DD0238" w:rsidP="00DD02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02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0.82</w:t>
            </w:r>
          </w:p>
        </w:tc>
        <w:tc>
          <w:tcPr>
            <w:tcW w:w="0" w:type="auto"/>
          </w:tcPr>
          <w:p w:rsidR="00DD0238" w:rsidRPr="00B81627" w:rsidRDefault="00DD0238" w:rsidP="00DD02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proofErr w:type="spellStart"/>
            <w:r w:rsidRPr="00DD02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n.a.</w:t>
            </w:r>
            <w:r w:rsidR="00B8162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0" w:type="auto"/>
          </w:tcPr>
          <w:p w:rsidR="00DD0238" w:rsidRPr="00DD0238" w:rsidRDefault="00DD0238" w:rsidP="00DD02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02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0.72</w:t>
            </w:r>
          </w:p>
        </w:tc>
      </w:tr>
      <w:tr w:rsidR="00DD0238" w:rsidRPr="00DD0238" w:rsidTr="00AC3A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D0238" w:rsidRPr="00DD0238" w:rsidRDefault="00DD0238" w:rsidP="00DD023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02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Test-retest </w:t>
            </w:r>
            <w:proofErr w:type="spellStart"/>
            <w:r w:rsidRPr="00DD02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reliability</w:t>
            </w:r>
            <w:r w:rsidR="00B8162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c</w:t>
            </w:r>
            <w:proofErr w:type="spellEnd"/>
          </w:p>
        </w:tc>
        <w:tc>
          <w:tcPr>
            <w:tcW w:w="0" w:type="auto"/>
          </w:tcPr>
          <w:p w:rsidR="00DD0238" w:rsidRPr="00DD0238" w:rsidRDefault="00DD0238" w:rsidP="00DD02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02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(N = 277)</w:t>
            </w:r>
          </w:p>
        </w:tc>
        <w:tc>
          <w:tcPr>
            <w:tcW w:w="0" w:type="auto"/>
          </w:tcPr>
          <w:p w:rsidR="00DD0238" w:rsidRPr="00DD0238" w:rsidRDefault="00DD0238" w:rsidP="00DD02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02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ICC (95% CI)</w:t>
            </w:r>
          </w:p>
        </w:tc>
        <w:tc>
          <w:tcPr>
            <w:tcW w:w="0" w:type="auto"/>
          </w:tcPr>
          <w:p w:rsidR="00DD0238" w:rsidRPr="00DD0238" w:rsidRDefault="00DD0238" w:rsidP="00DD02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02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0.73 (0.66-0.78)</w:t>
            </w:r>
          </w:p>
        </w:tc>
        <w:tc>
          <w:tcPr>
            <w:tcW w:w="0" w:type="auto"/>
          </w:tcPr>
          <w:p w:rsidR="00DD0238" w:rsidRPr="00DD0238" w:rsidRDefault="00DD0238" w:rsidP="00DD02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02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0.70 (0.62-0.76)</w:t>
            </w:r>
          </w:p>
        </w:tc>
        <w:tc>
          <w:tcPr>
            <w:tcW w:w="0" w:type="auto"/>
          </w:tcPr>
          <w:p w:rsidR="00DD0238" w:rsidRPr="00DD0238" w:rsidRDefault="00DD0238" w:rsidP="00DD02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02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0.60 (0.52-0.67)</w:t>
            </w:r>
          </w:p>
        </w:tc>
      </w:tr>
      <w:tr w:rsidR="00DD0238" w:rsidRPr="00DD0238" w:rsidTr="00AC3A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D0238" w:rsidRPr="00DD0238" w:rsidRDefault="00DD0238" w:rsidP="00DD023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02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Hypothesis about correlation SCARED-NL</w:t>
            </w:r>
          </w:p>
        </w:tc>
        <w:tc>
          <w:tcPr>
            <w:tcW w:w="0" w:type="auto"/>
          </w:tcPr>
          <w:p w:rsidR="00DD0238" w:rsidRPr="00DD0238" w:rsidRDefault="00DD0238" w:rsidP="00DD02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02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(N = 269)</w:t>
            </w:r>
          </w:p>
        </w:tc>
        <w:tc>
          <w:tcPr>
            <w:tcW w:w="0" w:type="auto"/>
          </w:tcPr>
          <w:p w:rsidR="00DD0238" w:rsidRPr="00DD0238" w:rsidRDefault="00DD0238" w:rsidP="00DD02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02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 (95% CI)</w:t>
            </w:r>
          </w:p>
        </w:tc>
        <w:tc>
          <w:tcPr>
            <w:tcW w:w="0" w:type="auto"/>
          </w:tcPr>
          <w:p w:rsidR="00DD0238" w:rsidRPr="00DD0238" w:rsidRDefault="00DD0238" w:rsidP="00DD02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DD02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0.84 (0.80-0.87)</w:t>
            </w:r>
          </w:p>
        </w:tc>
        <w:tc>
          <w:tcPr>
            <w:tcW w:w="0" w:type="auto"/>
          </w:tcPr>
          <w:p w:rsidR="00DD0238" w:rsidRPr="00DD0238" w:rsidRDefault="00DD0238" w:rsidP="00DD02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02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0.68 (0.61-0.74)</w:t>
            </w:r>
          </w:p>
        </w:tc>
        <w:tc>
          <w:tcPr>
            <w:tcW w:w="0" w:type="auto"/>
          </w:tcPr>
          <w:p w:rsidR="00DD0238" w:rsidRPr="00DD0238" w:rsidRDefault="00DD0238" w:rsidP="00DD02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02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0.66 (0.58-0.72)</w:t>
            </w:r>
          </w:p>
        </w:tc>
      </w:tr>
      <w:tr w:rsidR="00DD0238" w:rsidRPr="00DD0238" w:rsidTr="00AC3A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DD0238" w:rsidRPr="00DD0238" w:rsidRDefault="00DD0238" w:rsidP="00DD023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02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Hypothesis about correlation CDI-2</w:t>
            </w:r>
          </w:p>
        </w:tc>
        <w:tc>
          <w:tcPr>
            <w:tcW w:w="0" w:type="auto"/>
          </w:tcPr>
          <w:p w:rsidR="00DD0238" w:rsidRPr="00DD0238" w:rsidRDefault="00DD0238" w:rsidP="00DD02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02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(N = 276)</w:t>
            </w:r>
          </w:p>
        </w:tc>
        <w:tc>
          <w:tcPr>
            <w:tcW w:w="0" w:type="auto"/>
          </w:tcPr>
          <w:p w:rsidR="00DD0238" w:rsidRPr="00DD0238" w:rsidRDefault="00DD0238" w:rsidP="00DD02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DD02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DD023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DD02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(95% CI)</w:t>
            </w:r>
          </w:p>
        </w:tc>
        <w:tc>
          <w:tcPr>
            <w:tcW w:w="0" w:type="auto"/>
          </w:tcPr>
          <w:p w:rsidR="00DD0238" w:rsidRPr="00DD0238" w:rsidRDefault="00DD0238" w:rsidP="00DD02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02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0.66 (0.59-0.72)</w:t>
            </w:r>
          </w:p>
        </w:tc>
        <w:tc>
          <w:tcPr>
            <w:tcW w:w="0" w:type="auto"/>
          </w:tcPr>
          <w:p w:rsidR="00DD0238" w:rsidRPr="00DD0238" w:rsidRDefault="00DD0238" w:rsidP="00DD02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02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0.66 (0.58-0.72)</w:t>
            </w:r>
          </w:p>
        </w:tc>
        <w:tc>
          <w:tcPr>
            <w:tcW w:w="0" w:type="auto"/>
          </w:tcPr>
          <w:p w:rsidR="00DD0238" w:rsidRPr="00DD0238" w:rsidRDefault="00DD0238" w:rsidP="00DD0238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02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0.59 (0.51-0.67)</w:t>
            </w:r>
          </w:p>
        </w:tc>
      </w:tr>
    </w:tbl>
    <w:p w:rsidR="00DD0238" w:rsidRPr="00DD0238" w:rsidRDefault="00DD0238" w:rsidP="00DD023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D0238">
        <w:rPr>
          <w:rFonts w:ascii="Times New Roman" w:hAnsi="Times New Roman" w:cs="Times New Roman"/>
          <w:sz w:val="24"/>
          <w:szCs w:val="24"/>
          <w:lang w:val="en-US"/>
        </w:rPr>
        <w:t xml:space="preserve">RCADS = Revised Child Anxiety and Depression Scale; MDD = major depressive disorder; </w:t>
      </w:r>
      <w:proofErr w:type="spellStart"/>
      <w:r w:rsidRPr="00DD0238">
        <w:rPr>
          <w:rFonts w:ascii="Times New Roman" w:hAnsi="Times New Roman" w:cs="Times New Roman"/>
          <w:sz w:val="24"/>
          <w:szCs w:val="24"/>
          <w:lang w:val="en-US"/>
        </w:rPr>
        <w:t>n.a</w:t>
      </w:r>
      <w:proofErr w:type="spellEnd"/>
      <w:r w:rsidRPr="00DD0238">
        <w:rPr>
          <w:rFonts w:ascii="Times New Roman" w:hAnsi="Times New Roman" w:cs="Times New Roman"/>
          <w:sz w:val="24"/>
          <w:szCs w:val="24"/>
          <w:lang w:val="en-US"/>
        </w:rPr>
        <w:t xml:space="preserve">. = not applicable; ICC = </w:t>
      </w:r>
      <w:proofErr w:type="spellStart"/>
      <w:r w:rsidRPr="00DD0238">
        <w:rPr>
          <w:rFonts w:ascii="Times New Roman" w:hAnsi="Times New Roman" w:cs="Times New Roman"/>
          <w:sz w:val="24"/>
          <w:szCs w:val="24"/>
          <w:lang w:val="en-US"/>
        </w:rPr>
        <w:t>intraclass</w:t>
      </w:r>
      <w:proofErr w:type="spellEnd"/>
      <w:r w:rsidRPr="00DD0238">
        <w:rPr>
          <w:rFonts w:ascii="Times New Roman" w:hAnsi="Times New Roman" w:cs="Times New Roman"/>
          <w:sz w:val="24"/>
          <w:szCs w:val="24"/>
          <w:lang w:val="en-US"/>
        </w:rPr>
        <w:t xml:space="preserve"> correlation coefficient; SCARED-NL = Screen for Child Anxiety Related Emotional Disorders-Dutch Version; CDI-2 = Children’s Depression Inventory-Revised Version</w:t>
      </w:r>
    </w:p>
    <w:p w:rsidR="00DD0238" w:rsidRDefault="00DD0238" w:rsidP="00DD023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D023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r w:rsidRPr="00DD0238">
        <w:rPr>
          <w:rFonts w:ascii="Times New Roman" w:hAnsi="Times New Roman" w:cs="Times New Roman"/>
          <w:sz w:val="24"/>
          <w:szCs w:val="24"/>
          <w:lang w:val="en-US"/>
        </w:rPr>
        <w:t xml:space="preserve"> The broad anxiety scale of the RCADS-20 is equal to the broad anxiety scale of the RCADS-25.</w:t>
      </w:r>
    </w:p>
    <w:p w:rsidR="00B81627" w:rsidRPr="00B81627" w:rsidRDefault="00B81627" w:rsidP="00DD023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b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Cronbach’s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alpha was not calculated for the RCADS-25 MDD-10 scale, since the data did not fit a one-factor model, and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unidimensionality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is a prerequisite for its interpretation.</w:t>
      </w:r>
    </w:p>
    <w:p w:rsidR="00DD0238" w:rsidRPr="00DD0238" w:rsidRDefault="00B81627" w:rsidP="00DD023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c</w:t>
      </w:r>
      <w:r w:rsidR="00DD0238" w:rsidRPr="00DD0238">
        <w:rPr>
          <w:rFonts w:ascii="Times New Roman" w:hAnsi="Times New Roman" w:cs="Times New Roman"/>
          <w:sz w:val="24"/>
          <w:szCs w:val="24"/>
          <w:lang w:val="en-US"/>
        </w:rPr>
        <w:t xml:space="preserve"> The time interval between the measurements varied from 11 to 33 days.</w:t>
      </w:r>
    </w:p>
    <w:p w:rsidR="007E5137" w:rsidRPr="00DD0238" w:rsidRDefault="007E5137" w:rsidP="00DD023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7E5137" w:rsidRPr="00DD0238" w:rsidSect="00DD023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238"/>
    <w:rsid w:val="00072D47"/>
    <w:rsid w:val="001323BF"/>
    <w:rsid w:val="00234C31"/>
    <w:rsid w:val="00251E64"/>
    <w:rsid w:val="00273904"/>
    <w:rsid w:val="007047E3"/>
    <w:rsid w:val="007E5137"/>
    <w:rsid w:val="00A80D1E"/>
    <w:rsid w:val="00B81627"/>
    <w:rsid w:val="00D24601"/>
    <w:rsid w:val="00DD0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251E64"/>
    <w:pPr>
      <w:spacing w:after="280" w:line="240" w:lineRule="auto"/>
      <w:contextualSpacing/>
    </w:pPr>
    <w:rPr>
      <w:rFonts w:ascii="Corbel" w:hAnsi="Corbel"/>
      <w:sz w:val="21"/>
    </w:rPr>
  </w:style>
  <w:style w:type="paragraph" w:styleId="Kop1">
    <w:name w:val="heading 1"/>
    <w:basedOn w:val="Standaard"/>
    <w:next w:val="Standaard"/>
    <w:link w:val="Kop1Char"/>
    <w:uiPriority w:val="9"/>
    <w:qFormat/>
    <w:rsid w:val="007E5137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E5137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7E5137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E5137"/>
    <w:pPr>
      <w:spacing w:after="0" w:line="240" w:lineRule="auto"/>
    </w:pPr>
    <w:rPr>
      <w:rFonts w:ascii="Corbel" w:hAnsi="Corbel"/>
      <w:sz w:val="21"/>
    </w:rPr>
  </w:style>
  <w:style w:type="character" w:customStyle="1" w:styleId="Kop1Char">
    <w:name w:val="Kop 1 Char"/>
    <w:basedOn w:val="Standaardalinea-lettertype"/>
    <w:link w:val="Kop1"/>
    <w:uiPriority w:val="9"/>
    <w:rsid w:val="007E5137"/>
    <w:rPr>
      <w:rFonts w:ascii="Corbel" w:eastAsiaTheme="majorEastAsia" w:hAnsi="Corbel" w:cstheme="majorBidi"/>
      <w:b/>
      <w:bCs/>
      <w:color w:val="365F91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7E5137"/>
    <w:rPr>
      <w:rFonts w:ascii="Corbel" w:eastAsiaTheme="majorEastAsia" w:hAnsi="Corbel" w:cstheme="majorBidi"/>
      <w:b/>
      <w:bCs/>
      <w:color w:val="4F81BD" w:themeColor="accent1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7E5137"/>
    <w:rPr>
      <w:rFonts w:ascii="Corbel" w:eastAsiaTheme="majorEastAsia" w:hAnsi="Corbel" w:cstheme="majorBidi"/>
      <w:b/>
      <w:bCs/>
      <w:color w:val="4F81BD" w:themeColor="accent1"/>
      <w:sz w:val="21"/>
    </w:rPr>
  </w:style>
  <w:style w:type="paragraph" w:styleId="Titel">
    <w:name w:val="Title"/>
    <w:basedOn w:val="Standaard"/>
    <w:next w:val="Standaard"/>
    <w:link w:val="TitelChar"/>
    <w:uiPriority w:val="10"/>
    <w:qFormat/>
    <w:rsid w:val="007E5137"/>
    <w:pPr>
      <w:pBdr>
        <w:bottom w:val="single" w:sz="8" w:space="4" w:color="4F81BD" w:themeColor="accent1"/>
      </w:pBdr>
      <w:spacing w:after="300"/>
    </w:pPr>
    <w:rPr>
      <w:rFonts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7E5137"/>
    <w:rPr>
      <w:rFonts w:ascii="Corbel" w:eastAsiaTheme="majorEastAsia" w:hAnsi="Corbel" w:cstheme="majorBidi"/>
      <w:color w:val="17365D" w:themeColor="text2" w:themeShade="BF"/>
      <w:spacing w:val="5"/>
      <w:kern w:val="28"/>
      <w:sz w:val="52"/>
      <w:szCs w:val="52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E5137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E5137"/>
    <w:rPr>
      <w:rFonts w:ascii="Corbel" w:eastAsiaTheme="majorEastAsia" w:hAnsi="Corbel" w:cstheme="majorBidi"/>
      <w:i/>
      <w:iCs/>
      <w:color w:val="4F81BD" w:themeColor="accent1"/>
      <w:spacing w:val="15"/>
      <w:sz w:val="24"/>
      <w:szCs w:val="24"/>
    </w:rPr>
  </w:style>
  <w:style w:type="table" w:styleId="Lichtearcering">
    <w:name w:val="Light Shading"/>
    <w:basedOn w:val="Standaardtabel"/>
    <w:uiPriority w:val="60"/>
    <w:rsid w:val="00DD023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251E64"/>
    <w:pPr>
      <w:spacing w:after="280" w:line="240" w:lineRule="auto"/>
      <w:contextualSpacing/>
    </w:pPr>
    <w:rPr>
      <w:rFonts w:ascii="Corbel" w:hAnsi="Corbel"/>
      <w:sz w:val="21"/>
    </w:rPr>
  </w:style>
  <w:style w:type="paragraph" w:styleId="Kop1">
    <w:name w:val="heading 1"/>
    <w:basedOn w:val="Standaard"/>
    <w:next w:val="Standaard"/>
    <w:link w:val="Kop1Char"/>
    <w:uiPriority w:val="9"/>
    <w:qFormat/>
    <w:rsid w:val="007E5137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E5137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7E5137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E5137"/>
    <w:pPr>
      <w:spacing w:after="0" w:line="240" w:lineRule="auto"/>
    </w:pPr>
    <w:rPr>
      <w:rFonts w:ascii="Corbel" w:hAnsi="Corbel"/>
      <w:sz w:val="21"/>
    </w:rPr>
  </w:style>
  <w:style w:type="character" w:customStyle="1" w:styleId="Kop1Char">
    <w:name w:val="Kop 1 Char"/>
    <w:basedOn w:val="Standaardalinea-lettertype"/>
    <w:link w:val="Kop1"/>
    <w:uiPriority w:val="9"/>
    <w:rsid w:val="007E5137"/>
    <w:rPr>
      <w:rFonts w:ascii="Corbel" w:eastAsiaTheme="majorEastAsia" w:hAnsi="Corbel" w:cstheme="majorBidi"/>
      <w:b/>
      <w:bCs/>
      <w:color w:val="365F91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7E5137"/>
    <w:rPr>
      <w:rFonts w:ascii="Corbel" w:eastAsiaTheme="majorEastAsia" w:hAnsi="Corbel" w:cstheme="majorBidi"/>
      <w:b/>
      <w:bCs/>
      <w:color w:val="4F81BD" w:themeColor="accent1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7E5137"/>
    <w:rPr>
      <w:rFonts w:ascii="Corbel" w:eastAsiaTheme="majorEastAsia" w:hAnsi="Corbel" w:cstheme="majorBidi"/>
      <w:b/>
      <w:bCs/>
      <w:color w:val="4F81BD" w:themeColor="accent1"/>
      <w:sz w:val="21"/>
    </w:rPr>
  </w:style>
  <w:style w:type="paragraph" w:styleId="Titel">
    <w:name w:val="Title"/>
    <w:basedOn w:val="Standaard"/>
    <w:next w:val="Standaard"/>
    <w:link w:val="TitelChar"/>
    <w:uiPriority w:val="10"/>
    <w:qFormat/>
    <w:rsid w:val="007E5137"/>
    <w:pPr>
      <w:pBdr>
        <w:bottom w:val="single" w:sz="8" w:space="4" w:color="4F81BD" w:themeColor="accent1"/>
      </w:pBdr>
      <w:spacing w:after="300"/>
    </w:pPr>
    <w:rPr>
      <w:rFonts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7E5137"/>
    <w:rPr>
      <w:rFonts w:ascii="Corbel" w:eastAsiaTheme="majorEastAsia" w:hAnsi="Corbel" w:cstheme="majorBidi"/>
      <w:color w:val="17365D" w:themeColor="text2" w:themeShade="BF"/>
      <w:spacing w:val="5"/>
      <w:kern w:val="28"/>
      <w:sz w:val="52"/>
      <w:szCs w:val="52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E5137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E5137"/>
    <w:rPr>
      <w:rFonts w:ascii="Corbel" w:eastAsiaTheme="majorEastAsia" w:hAnsi="Corbel" w:cstheme="majorBidi"/>
      <w:i/>
      <w:iCs/>
      <w:color w:val="4F81BD" w:themeColor="accent1"/>
      <w:spacing w:val="15"/>
      <w:sz w:val="24"/>
      <w:szCs w:val="24"/>
    </w:rPr>
  </w:style>
  <w:style w:type="table" w:styleId="Lichtearcering">
    <w:name w:val="Light Shading"/>
    <w:basedOn w:val="Standaardtabel"/>
    <w:uiPriority w:val="60"/>
    <w:rsid w:val="00DD023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 - klassiek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183</Words>
  <Characters>1009</Characters>
  <Application>Microsoft Office Word</Application>
  <DocSecurity>0</DocSecurity>
  <Lines>8</Lines>
  <Paragraphs>2</Paragraphs>
  <ScaleCrop>false</ScaleCrop>
  <Company>GGD Amsterdam</Company>
  <LinksUpToDate>false</LinksUpToDate>
  <CharactersWithSpaces>1190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Klaufus, Leonie</dc:creator>
  <cp:lastModifiedBy>Klaufus, Leonie</cp:lastModifiedBy>
  <cp:revision>5</cp:revision>
  <dcterms:created xsi:type="dcterms:W3CDTF">2019-06-27T11:57:00Z</dcterms:created>
  <dcterms:modified xsi:type="dcterms:W3CDTF">2019-07-10T09:16:00Z</dcterms:modified>
</cp:coreProperties>
</file>